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C371" w14:textId="77777777" w:rsidR="00796081" w:rsidRPr="00796081" w:rsidRDefault="00796081" w:rsidP="006A59BA">
      <w:pPr>
        <w:pStyle w:val="NormalnyWeb"/>
        <w:spacing w:before="0" w:beforeAutospacing="0" w:after="0" w:line="240" w:lineRule="auto"/>
        <w:jc w:val="center"/>
        <w:rPr>
          <w:b/>
        </w:rPr>
      </w:pPr>
      <w:r w:rsidRPr="00796081">
        <w:rPr>
          <w:b/>
        </w:rPr>
        <w:t>WYKAZ</w:t>
      </w:r>
    </w:p>
    <w:p w14:paraId="28AA7808" w14:textId="77777777" w:rsidR="00796081" w:rsidRPr="00796081" w:rsidRDefault="00796081" w:rsidP="00796081">
      <w:pPr>
        <w:pStyle w:val="NormalnyWeb"/>
        <w:spacing w:before="0" w:beforeAutospacing="0" w:after="0" w:line="240" w:lineRule="auto"/>
        <w:jc w:val="center"/>
        <w:rPr>
          <w:b/>
        </w:rPr>
      </w:pPr>
      <w:r w:rsidRPr="00796081">
        <w:rPr>
          <w:b/>
        </w:rPr>
        <w:t>…………………..</w:t>
      </w:r>
    </w:p>
    <w:p w14:paraId="2ECB844D" w14:textId="77777777" w:rsidR="00796081" w:rsidRDefault="00796081" w:rsidP="00796081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2"/>
          <w:szCs w:val="22"/>
        </w:rPr>
        <w:t>nieruchomości stanowiących własność Gminy Kuczbork-Osada położonych</w:t>
      </w:r>
    </w:p>
    <w:p w14:paraId="509F5D0E" w14:textId="51A82CCA" w:rsidR="00796081" w:rsidRDefault="00796081" w:rsidP="00796081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na terenie miejscowości </w:t>
      </w:r>
      <w:r w:rsidR="00AE1412">
        <w:rPr>
          <w:b/>
          <w:bCs/>
          <w:sz w:val="22"/>
          <w:szCs w:val="22"/>
        </w:rPr>
        <w:t>Krzywki-Bratki</w:t>
      </w:r>
      <w:r>
        <w:rPr>
          <w:b/>
          <w:bCs/>
          <w:sz w:val="22"/>
          <w:szCs w:val="22"/>
        </w:rPr>
        <w:t xml:space="preserve"> przeznaczonych do sprzedaży zgodnie z art.</w:t>
      </w:r>
      <w:r w:rsidR="00C6798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35 ust.</w:t>
      </w:r>
      <w:r w:rsidR="002263D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 i 2</w:t>
      </w:r>
    </w:p>
    <w:p w14:paraId="0CC1CF2F" w14:textId="0D0EC1BF" w:rsidR="00796081" w:rsidRPr="00796081" w:rsidRDefault="00796081" w:rsidP="00796081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2"/>
          <w:szCs w:val="22"/>
        </w:rPr>
        <w:t xml:space="preserve">Ustawy z dnia 21 sierpnia 1997 roku </w:t>
      </w:r>
      <w:r w:rsidR="002C4D95">
        <w:rPr>
          <w:b/>
          <w:bCs/>
          <w:sz w:val="22"/>
          <w:szCs w:val="22"/>
        </w:rPr>
        <w:t>o gospodarce nieruchomościami /</w:t>
      </w:r>
      <w:r w:rsidR="00C67985">
        <w:rPr>
          <w:b/>
          <w:bCs/>
          <w:sz w:val="22"/>
          <w:szCs w:val="22"/>
        </w:rPr>
        <w:t>Dz. U. z 202</w:t>
      </w:r>
      <w:r w:rsidR="000B648A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roku, poz. </w:t>
      </w:r>
      <w:r w:rsidR="000B648A">
        <w:rPr>
          <w:b/>
          <w:bCs/>
          <w:sz w:val="22"/>
          <w:szCs w:val="22"/>
        </w:rPr>
        <w:t>344</w:t>
      </w:r>
      <w:r w:rsidR="004E32C3">
        <w:rPr>
          <w:b/>
          <w:bCs/>
          <w:sz w:val="22"/>
          <w:szCs w:val="22"/>
        </w:rPr>
        <w:t xml:space="preserve"> z późn. zm.</w:t>
      </w:r>
      <w:r>
        <w:rPr>
          <w:b/>
          <w:bCs/>
          <w:sz w:val="22"/>
          <w:szCs w:val="22"/>
        </w:rPr>
        <w:t>/</w:t>
      </w:r>
    </w:p>
    <w:p w14:paraId="02360389" w14:textId="77777777" w:rsidR="00796081" w:rsidRDefault="00796081" w:rsidP="00796081">
      <w:pPr>
        <w:pStyle w:val="NormalnyWeb"/>
        <w:spacing w:before="0" w:beforeAutospacing="0" w:after="0" w:line="240" w:lineRule="auto"/>
        <w:jc w:val="center"/>
      </w:pPr>
    </w:p>
    <w:tbl>
      <w:tblPr>
        <w:tblW w:w="5161" w:type="pct"/>
        <w:tblCellSpacing w:w="0" w:type="dxa"/>
        <w:tblInd w:w="-21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5"/>
        <w:gridCol w:w="1479"/>
        <w:gridCol w:w="1542"/>
        <w:gridCol w:w="1823"/>
        <w:gridCol w:w="1681"/>
        <w:gridCol w:w="3085"/>
        <w:gridCol w:w="2524"/>
        <w:gridCol w:w="1823"/>
      </w:tblGrid>
      <w:tr w:rsidR="00E04ACC" w:rsidRPr="00796081" w14:paraId="3C4DE700" w14:textId="77777777" w:rsidTr="006F0AE5">
        <w:trPr>
          <w:tblCellSpacing w:w="0" w:type="dxa"/>
        </w:trPr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D3260DB" w14:textId="77777777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L.p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0BA9358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Numer</w:t>
            </w:r>
          </w:p>
          <w:p w14:paraId="50B36305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nieruchomości</w:t>
            </w:r>
          </w:p>
          <w:p w14:paraId="0CEA9EAC" w14:textId="77777777" w:rsidR="00796081" w:rsidRPr="00406FBA" w:rsidRDefault="00796081" w:rsidP="00406FBA">
            <w:pPr>
              <w:spacing w:line="276" w:lineRule="auto"/>
              <w:jc w:val="center"/>
            </w:pP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FD5D685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Powierzchnia</w:t>
            </w:r>
          </w:p>
          <w:p w14:paraId="69938255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nieruchomości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AFBE4CC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Numer</w:t>
            </w:r>
          </w:p>
          <w:p w14:paraId="0C8551DC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KW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1A2200A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Opis</w:t>
            </w:r>
          </w:p>
          <w:p w14:paraId="73B40588" w14:textId="77777777" w:rsidR="00796081" w:rsidRPr="00406FBA" w:rsidRDefault="00796081" w:rsidP="00406FBA">
            <w:pPr>
              <w:spacing w:line="276" w:lineRule="auto"/>
              <w:jc w:val="center"/>
            </w:pPr>
            <w:r w:rsidRPr="00406FBA">
              <w:rPr>
                <w:b/>
                <w:bCs/>
                <w:iCs/>
                <w:color w:val="000000"/>
                <w:sz w:val="22"/>
                <w:szCs w:val="22"/>
              </w:rPr>
              <w:t>nieruchomości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C4533CE" w14:textId="77777777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Przeznaczenie nieruchomości w miejscowym planie</w:t>
            </w:r>
            <w:r w:rsidR="00FF64E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96081">
              <w:rPr>
                <w:b/>
                <w:bCs/>
                <w:color w:val="000000"/>
                <w:sz w:val="22"/>
                <w:szCs w:val="22"/>
              </w:rPr>
              <w:t>zagospodarowania przestrzennego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5E15A59" w14:textId="77777777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Wartość</w:t>
            </w:r>
          </w:p>
          <w:p w14:paraId="1153F37C" w14:textId="77777777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nieruchomości</w:t>
            </w:r>
          </w:p>
          <w:p w14:paraId="5CB085C8" w14:textId="195E3303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 xml:space="preserve">w złotych </w:t>
            </w:r>
          </w:p>
          <w:p w14:paraId="7B092A29" w14:textId="77777777" w:rsidR="00796081" w:rsidRPr="00796081" w:rsidRDefault="00796081" w:rsidP="00406FBA">
            <w:pPr>
              <w:spacing w:line="276" w:lineRule="auto"/>
              <w:jc w:val="center"/>
            </w:pPr>
          </w:p>
        </w:tc>
        <w:tc>
          <w:tcPr>
            <w:tcW w:w="631" w:type="pct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A3654D" w14:textId="77777777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iCs/>
                <w:color w:val="000000"/>
                <w:sz w:val="22"/>
                <w:szCs w:val="22"/>
              </w:rPr>
              <w:t>Forma sprzedaży</w:t>
            </w:r>
          </w:p>
          <w:p w14:paraId="7C71FEEE" w14:textId="77777777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iCs/>
                <w:color w:val="000000"/>
                <w:sz w:val="22"/>
                <w:szCs w:val="22"/>
              </w:rPr>
              <w:t>nieruchomości</w:t>
            </w:r>
          </w:p>
        </w:tc>
      </w:tr>
      <w:tr w:rsidR="00E04ACC" w:rsidRPr="00796081" w14:paraId="36DA69D3" w14:textId="77777777" w:rsidTr="006F0AE5">
        <w:trPr>
          <w:tblCellSpacing w:w="0" w:type="dxa"/>
        </w:trPr>
        <w:tc>
          <w:tcPr>
            <w:tcW w:w="1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3A3AC44" w14:textId="77777777" w:rsidR="00796081" w:rsidRPr="00796081" w:rsidRDefault="00796081" w:rsidP="00FF64EA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1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9146833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EEE288B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196494B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8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D869232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EA35ABC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BDCBE95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1" w:type="pct"/>
            <w:tcBorders>
              <w:top w:val="nil"/>
              <w:left w:val="single" w:sz="2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881D57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E04ACC" w:rsidRPr="00796081" w14:paraId="4CDF0191" w14:textId="77777777" w:rsidTr="006F0AE5">
        <w:trPr>
          <w:trHeight w:val="1575"/>
          <w:tblCellSpacing w:w="0" w:type="dxa"/>
        </w:trPr>
        <w:tc>
          <w:tcPr>
            <w:tcW w:w="168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41A879C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6F775C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8D16236" w14:textId="5457A1F3" w:rsidR="001F1013" w:rsidRPr="001F1013" w:rsidRDefault="00AE1412" w:rsidP="001F101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106/2</w:t>
            </w:r>
          </w:p>
        </w:tc>
        <w:tc>
          <w:tcPr>
            <w:tcW w:w="534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3B172E1" w14:textId="6B123CA6" w:rsidR="00796081" w:rsidRPr="00796081" w:rsidRDefault="00796081" w:rsidP="00406FBA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AE1412">
              <w:rPr>
                <w:b/>
                <w:bCs/>
                <w:color w:val="000000"/>
                <w:sz w:val="22"/>
                <w:szCs w:val="22"/>
              </w:rPr>
              <w:t>0572</w:t>
            </w:r>
            <w:r w:rsidRPr="00796081">
              <w:rPr>
                <w:b/>
                <w:bCs/>
                <w:color w:val="000000"/>
                <w:sz w:val="22"/>
                <w:szCs w:val="22"/>
              </w:rPr>
              <w:t xml:space="preserve"> ha</w:t>
            </w: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9910398" w14:textId="5D7B47DB" w:rsidR="00796081" w:rsidRPr="00796081" w:rsidRDefault="00E93C7D" w:rsidP="00796081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PL2M/00</w:t>
            </w:r>
            <w:r w:rsidR="00AE1412">
              <w:rPr>
                <w:b/>
                <w:bCs/>
                <w:color w:val="000000"/>
                <w:sz w:val="22"/>
                <w:szCs w:val="22"/>
              </w:rPr>
              <w:t>012680</w:t>
            </w:r>
            <w:r w:rsidR="00406FBA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="00AE141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82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B43C09A" w14:textId="614D8BB0" w:rsidR="00796081" w:rsidRPr="00796081" w:rsidRDefault="00AE1412" w:rsidP="00E93C7D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Usługi podstawowe</w:t>
            </w:r>
          </w:p>
        </w:tc>
        <w:tc>
          <w:tcPr>
            <w:tcW w:w="1068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1F6C781" w14:textId="1EC4A264" w:rsidR="000B648A" w:rsidRDefault="00AE1412" w:rsidP="000B64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B648A">
              <w:rPr>
                <w:b/>
              </w:rPr>
              <w:t xml:space="preserve"> </w:t>
            </w:r>
            <w:r>
              <w:rPr>
                <w:b/>
              </w:rPr>
              <w:t>UP</w:t>
            </w:r>
            <w:r w:rsidR="000B648A">
              <w:rPr>
                <w:b/>
              </w:rPr>
              <w:t xml:space="preserve"> </w:t>
            </w:r>
          </w:p>
          <w:p w14:paraId="066F4B31" w14:textId="33507210" w:rsidR="00406FBA" w:rsidRPr="00406FBA" w:rsidRDefault="000B648A" w:rsidP="000B64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(Uchwała Rady Gminy Kuczbork – Osada nr XXXIV/197/2006 z dnia 25 października 2006 roku)</w:t>
            </w: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6A44301" w14:textId="22EF9A74" w:rsidR="00796081" w:rsidRPr="00421BD5" w:rsidRDefault="00421BD5" w:rsidP="00406F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421BD5">
              <w:rPr>
                <w:b/>
                <w:bCs/>
              </w:rPr>
              <w:t>runt</w:t>
            </w:r>
            <w:r>
              <w:rPr>
                <w:b/>
                <w:bCs/>
              </w:rPr>
              <w:t xml:space="preserve"> -</w:t>
            </w:r>
            <w:r w:rsidRPr="00421BD5">
              <w:rPr>
                <w:b/>
                <w:bCs/>
              </w:rPr>
              <w:t xml:space="preserve"> 10 651,00 </w:t>
            </w:r>
            <w:r>
              <w:rPr>
                <w:b/>
                <w:bCs/>
              </w:rPr>
              <w:t>zł</w:t>
            </w:r>
            <w:r w:rsidRPr="00421BD5">
              <w:rPr>
                <w:b/>
                <w:bCs/>
              </w:rPr>
              <w:t xml:space="preserve"> </w:t>
            </w:r>
          </w:p>
          <w:p w14:paraId="16AB8403" w14:textId="11F2768E" w:rsidR="00796081" w:rsidRDefault="00421BD5" w:rsidP="00421B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421BD5">
              <w:rPr>
                <w:b/>
                <w:bCs/>
              </w:rPr>
              <w:t>udynek</w:t>
            </w:r>
            <w:r>
              <w:rPr>
                <w:b/>
                <w:bCs/>
              </w:rPr>
              <w:t xml:space="preserve"> -</w:t>
            </w:r>
            <w:r w:rsidRPr="00421BD5">
              <w:rPr>
                <w:b/>
                <w:bCs/>
              </w:rPr>
              <w:t xml:space="preserve"> 48 651,00</w:t>
            </w:r>
            <w:r>
              <w:rPr>
                <w:b/>
                <w:bCs/>
              </w:rPr>
              <w:t xml:space="preserve"> zł</w:t>
            </w:r>
          </w:p>
          <w:p w14:paraId="26D24864" w14:textId="042F8758" w:rsidR="00421BD5" w:rsidRPr="00421BD5" w:rsidRDefault="00421BD5" w:rsidP="00421BD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Suma: 59 302,00 zł</w:t>
            </w:r>
          </w:p>
          <w:p w14:paraId="4CF42A4D" w14:textId="77777777" w:rsidR="00796081" w:rsidRPr="00796081" w:rsidRDefault="00796081" w:rsidP="00406FBA">
            <w:pPr>
              <w:spacing w:line="276" w:lineRule="auto"/>
              <w:jc w:val="center"/>
            </w:pPr>
          </w:p>
        </w:tc>
        <w:tc>
          <w:tcPr>
            <w:tcW w:w="631" w:type="pct"/>
            <w:tcBorders>
              <w:top w:val="nil"/>
              <w:left w:val="single" w:sz="2" w:space="0" w:color="auto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07A330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W drodze</w:t>
            </w:r>
          </w:p>
          <w:p w14:paraId="160C52C3" w14:textId="77777777" w:rsidR="00796081" w:rsidRPr="00796081" w:rsidRDefault="002263D5" w:rsidP="00796081">
            <w:pPr>
              <w:spacing w:line="276" w:lineRule="auto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="00796081" w:rsidRPr="00796081">
              <w:rPr>
                <w:b/>
                <w:bCs/>
                <w:color w:val="000000"/>
                <w:sz w:val="22"/>
                <w:szCs w:val="22"/>
              </w:rPr>
              <w:t>rzetargu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ustnego</w:t>
            </w:r>
          </w:p>
          <w:p w14:paraId="71CFD303" w14:textId="77777777" w:rsidR="00796081" w:rsidRPr="00796081" w:rsidRDefault="00796081" w:rsidP="00796081">
            <w:pPr>
              <w:spacing w:line="276" w:lineRule="auto"/>
              <w:jc w:val="center"/>
            </w:pPr>
            <w:r w:rsidRPr="00796081">
              <w:rPr>
                <w:b/>
                <w:bCs/>
                <w:color w:val="000000"/>
                <w:sz w:val="22"/>
                <w:szCs w:val="22"/>
              </w:rPr>
              <w:t>nieograniczonego</w:t>
            </w:r>
          </w:p>
        </w:tc>
      </w:tr>
      <w:tr w:rsidR="00E04ACC" w:rsidRPr="00796081" w14:paraId="0B933027" w14:textId="77777777" w:rsidTr="006F0AE5">
        <w:trPr>
          <w:trHeight w:val="150"/>
          <w:tblCellSpacing w:w="0" w:type="dxa"/>
        </w:trPr>
        <w:tc>
          <w:tcPr>
            <w:tcW w:w="168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224BEBAC" w14:textId="77777777" w:rsidR="001753AB" w:rsidRPr="00796081" w:rsidRDefault="001753AB" w:rsidP="0079608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59CF0B6" w14:textId="77777777" w:rsidR="001753AB" w:rsidRDefault="001753AB" w:rsidP="001F1013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00CB5E0C" w14:textId="77777777" w:rsidR="001753AB" w:rsidRPr="00796081" w:rsidRDefault="001753AB" w:rsidP="00406FB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4E3A35E" w14:textId="77777777" w:rsidR="001753AB" w:rsidRDefault="001753AB" w:rsidP="0079608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BFEF8AE" w14:textId="77777777" w:rsidR="001753AB" w:rsidRDefault="001753AB" w:rsidP="0079608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F972501" w14:textId="77777777" w:rsidR="001753AB" w:rsidRPr="00406FBA" w:rsidRDefault="001753AB" w:rsidP="0079608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74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64738E46" w14:textId="77777777" w:rsidR="001753AB" w:rsidRPr="00796081" w:rsidRDefault="001753AB" w:rsidP="000B648A">
            <w:pPr>
              <w:spacing w:line="276" w:lineRule="auto"/>
            </w:pPr>
          </w:p>
        </w:tc>
        <w:tc>
          <w:tcPr>
            <w:tcW w:w="631" w:type="pct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25F776" w14:textId="77777777" w:rsidR="001753AB" w:rsidRPr="00796081" w:rsidRDefault="001753AB" w:rsidP="0079608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13" w:rsidRPr="00796081" w14:paraId="4480402B" w14:textId="77777777" w:rsidTr="006F0AE5">
        <w:trPr>
          <w:trHeight w:val="117"/>
          <w:tblCellSpacing w:w="0" w:type="dxa"/>
        </w:trPr>
        <w:tc>
          <w:tcPr>
            <w:tcW w:w="1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C68D0C3" w14:textId="4ED24F7C" w:rsidR="001F1013" w:rsidRPr="00796081" w:rsidRDefault="001F1013" w:rsidP="0079608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C1D9843" w14:textId="0916E816" w:rsidR="001F1013" w:rsidRDefault="001F1013" w:rsidP="0079608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66730DC" w14:textId="47CC70F9" w:rsidR="001F1013" w:rsidRPr="00796081" w:rsidRDefault="001F1013" w:rsidP="00406FB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FCA3EC3" w14:textId="52B6BF0E" w:rsidR="001F1013" w:rsidRDefault="001F1013" w:rsidP="006F775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CD6ACB0" w14:textId="49D02F63" w:rsidR="001F1013" w:rsidRDefault="001F1013" w:rsidP="0079608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C53140A" w14:textId="6D575120" w:rsidR="000B648A" w:rsidRPr="00406FBA" w:rsidRDefault="000B648A" w:rsidP="006F77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C548CD9" w14:textId="0A800BF4" w:rsidR="001F1013" w:rsidRPr="00E04ACC" w:rsidRDefault="001F1013" w:rsidP="00406FB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549FB9" w14:textId="629BB51D" w:rsidR="001F1013" w:rsidRPr="00796081" w:rsidRDefault="001F1013" w:rsidP="006F0A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C2303A" w14:textId="77777777" w:rsidR="00796081" w:rsidRPr="00796081" w:rsidRDefault="00796081" w:rsidP="006A59BA">
      <w:pPr>
        <w:pStyle w:val="NormalnyWeb"/>
        <w:spacing w:before="0" w:beforeAutospacing="0" w:after="0"/>
        <w:jc w:val="both"/>
      </w:pPr>
      <w:r w:rsidRPr="00796081">
        <w:t xml:space="preserve">1. Powyższy wykaz wywiesza się na tablicy ogłoszeń Urzędu Gminy Kuczbork- Osadzie na tablicach ogłoszeń sołtysów </w:t>
      </w:r>
      <w:r w:rsidR="00406FBA">
        <w:t>Gminy Kuczbork - Osada</w:t>
      </w:r>
      <w:r w:rsidRPr="00796081">
        <w:t xml:space="preserve"> oraz na stronie internetowej Urzędu gminy (bip.ugkuczborkosada.nv.pl) na okres 21 dni.</w:t>
      </w:r>
    </w:p>
    <w:p w14:paraId="28C0CEA1" w14:textId="48C0D409" w:rsidR="00796081" w:rsidRPr="00796081" w:rsidRDefault="00796081" w:rsidP="006A59BA">
      <w:pPr>
        <w:pStyle w:val="NormalnyWeb"/>
        <w:spacing w:before="0" w:beforeAutospacing="0" w:after="0"/>
        <w:jc w:val="both"/>
      </w:pPr>
      <w:r w:rsidRPr="00796081">
        <w:t xml:space="preserve">2. Ustala się termin do dnia </w:t>
      </w:r>
      <w:r w:rsidR="00421BD5">
        <w:t>10</w:t>
      </w:r>
      <w:r w:rsidR="003D1755">
        <w:t>.0</w:t>
      </w:r>
      <w:r w:rsidR="00421BD5">
        <w:t>4</w:t>
      </w:r>
      <w:r w:rsidR="0068304A">
        <w:t>.</w:t>
      </w:r>
      <w:r w:rsidRPr="0068304A">
        <w:t>20</w:t>
      </w:r>
      <w:r w:rsidR="00A31514">
        <w:t>2</w:t>
      </w:r>
      <w:r w:rsidR="00421BD5">
        <w:t>4</w:t>
      </w:r>
      <w:r w:rsidR="003D1755">
        <w:t xml:space="preserve"> </w:t>
      </w:r>
      <w:r w:rsidRPr="00796081">
        <w:t>roku (licząc od dnia podania do publicznej wiadomości niniejszego wykazu) do składania wniosków przez osoby, którym przysługuje pierwszeństwo do nabycia nieruchomości na podstawie art.</w:t>
      </w:r>
      <w:r w:rsidR="003D1755">
        <w:t xml:space="preserve"> </w:t>
      </w:r>
      <w:r w:rsidRPr="00796081">
        <w:t>34 ust 1 pkt 1 i 2 ustawy z dnia 21 sierpnia 1997 roku o gospodarce nieruchomościami.</w:t>
      </w:r>
    </w:p>
    <w:p w14:paraId="07C3BAC0" w14:textId="77777777" w:rsidR="00796081" w:rsidRPr="00796081" w:rsidRDefault="00796081" w:rsidP="006A59BA">
      <w:pPr>
        <w:pStyle w:val="NormalnyWeb"/>
        <w:spacing w:before="0" w:beforeAutospacing="0" w:after="0"/>
        <w:jc w:val="both"/>
      </w:pPr>
      <w:r w:rsidRPr="00796081">
        <w:t>3. Wszelkie informacje dotyczące niniejszego wykazu można uzyskać w siedzibie Urzęd</w:t>
      </w:r>
      <w:r w:rsidR="0068304A">
        <w:t>u Gminy w Kuczborku – Osadzie (</w:t>
      </w:r>
      <w:r w:rsidRPr="00796081">
        <w:t>pokój Nr 9)</w:t>
      </w:r>
      <w:r w:rsidR="00406FBA">
        <w:t xml:space="preserve"> lub telefonicznie (23 657-62-59 wew. 24</w:t>
      </w:r>
      <w:r w:rsidRPr="00796081">
        <w:t xml:space="preserve">) </w:t>
      </w:r>
    </w:p>
    <w:p w14:paraId="7AE01D6E" w14:textId="77777777" w:rsidR="006C4D6B" w:rsidRDefault="006C4D6B" w:rsidP="00B80926">
      <w:pPr>
        <w:jc w:val="right"/>
      </w:pPr>
    </w:p>
    <w:p w14:paraId="02D60252" w14:textId="77777777" w:rsidR="00B80926" w:rsidRDefault="00B80926" w:rsidP="00B80926">
      <w:pPr>
        <w:jc w:val="right"/>
      </w:pPr>
    </w:p>
    <w:p w14:paraId="6723B2EB" w14:textId="77777777" w:rsidR="00170568" w:rsidRDefault="00170568" w:rsidP="00B80926">
      <w:pPr>
        <w:jc w:val="right"/>
      </w:pPr>
    </w:p>
    <w:p w14:paraId="42413C77" w14:textId="77777777" w:rsidR="00B80926" w:rsidRPr="00B80926" w:rsidRDefault="00B80926" w:rsidP="00031DB1">
      <w:pPr>
        <w:rPr>
          <w:b/>
        </w:rPr>
      </w:pPr>
    </w:p>
    <w:sectPr w:rsidR="00B80926" w:rsidRPr="00B80926" w:rsidSect="00FD60A7">
      <w:headerReference w:type="default" r:id="rId7"/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938C" w14:textId="77777777" w:rsidR="00FD60A7" w:rsidRDefault="00FD60A7" w:rsidP="00796081">
      <w:r>
        <w:separator/>
      </w:r>
    </w:p>
  </w:endnote>
  <w:endnote w:type="continuationSeparator" w:id="0">
    <w:p w14:paraId="4AA67714" w14:textId="77777777" w:rsidR="00FD60A7" w:rsidRDefault="00FD60A7" w:rsidP="0079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A941" w14:textId="77777777" w:rsidR="00FD60A7" w:rsidRDefault="00FD60A7" w:rsidP="00796081">
      <w:r>
        <w:separator/>
      </w:r>
    </w:p>
  </w:footnote>
  <w:footnote w:type="continuationSeparator" w:id="0">
    <w:p w14:paraId="1BF57842" w14:textId="77777777" w:rsidR="00FD60A7" w:rsidRDefault="00FD60A7" w:rsidP="0079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4A8C" w14:textId="20A3544E" w:rsidR="00796081" w:rsidRDefault="00C67985" w:rsidP="00796081">
    <w:pPr>
      <w:pStyle w:val="NormalnyWeb"/>
    </w:pPr>
    <w:r>
      <w:t>GiGN.6840.</w:t>
    </w:r>
    <w:r w:rsidR="00AE1412">
      <w:t>1</w:t>
    </w:r>
    <w:r>
      <w:t>.202</w:t>
    </w:r>
    <w:r w:rsidR="000B648A">
      <w:t>3</w:t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68304A">
      <w:tab/>
    </w:r>
    <w:r w:rsidR="00796081">
      <w:t xml:space="preserve">  Kuczbork- Osada</w:t>
    </w:r>
    <w:r w:rsidR="002263D5">
      <w:t xml:space="preserve">, </w:t>
    </w:r>
    <w:r w:rsidR="00AE1412">
      <w:t>27</w:t>
    </w:r>
    <w:r w:rsidR="000B648A">
      <w:t>-0</w:t>
    </w:r>
    <w:r w:rsidR="00AE1412">
      <w:t>2</w:t>
    </w:r>
    <w:r w:rsidR="000B648A">
      <w:t>-</w:t>
    </w:r>
    <w:r w:rsidR="002263D5">
      <w:t>202</w:t>
    </w:r>
    <w:r w:rsidR="00AE1412">
      <w:t>4</w:t>
    </w:r>
    <w:r w:rsidR="000B648A">
      <w:t>r.</w:t>
    </w:r>
  </w:p>
  <w:p w14:paraId="0F528DA4" w14:textId="77777777" w:rsidR="00796081" w:rsidRDefault="007960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81"/>
    <w:rsid w:val="00020D86"/>
    <w:rsid w:val="00031DB1"/>
    <w:rsid w:val="000B648A"/>
    <w:rsid w:val="000D3E10"/>
    <w:rsid w:val="001074C4"/>
    <w:rsid w:val="00112D62"/>
    <w:rsid w:val="00170568"/>
    <w:rsid w:val="001753AB"/>
    <w:rsid w:val="00175A8C"/>
    <w:rsid w:val="001F1013"/>
    <w:rsid w:val="002263D5"/>
    <w:rsid w:val="00245367"/>
    <w:rsid w:val="002C4D95"/>
    <w:rsid w:val="003B7451"/>
    <w:rsid w:val="003D1755"/>
    <w:rsid w:val="00406FBA"/>
    <w:rsid w:val="00421BD5"/>
    <w:rsid w:val="004369E6"/>
    <w:rsid w:val="00445FDB"/>
    <w:rsid w:val="00476254"/>
    <w:rsid w:val="004D7E51"/>
    <w:rsid w:val="004E32C3"/>
    <w:rsid w:val="005A729B"/>
    <w:rsid w:val="005F3C2B"/>
    <w:rsid w:val="00645FBD"/>
    <w:rsid w:val="00665064"/>
    <w:rsid w:val="0068304A"/>
    <w:rsid w:val="006A59BA"/>
    <w:rsid w:val="006C4D6B"/>
    <w:rsid w:val="006F0AE5"/>
    <w:rsid w:val="006F775C"/>
    <w:rsid w:val="00796081"/>
    <w:rsid w:val="007A0530"/>
    <w:rsid w:val="007B3620"/>
    <w:rsid w:val="008B10D7"/>
    <w:rsid w:val="008B46D8"/>
    <w:rsid w:val="00934ED8"/>
    <w:rsid w:val="00960EC7"/>
    <w:rsid w:val="009D46F9"/>
    <w:rsid w:val="009E4187"/>
    <w:rsid w:val="00A31514"/>
    <w:rsid w:val="00AE1412"/>
    <w:rsid w:val="00AF6833"/>
    <w:rsid w:val="00B80926"/>
    <w:rsid w:val="00C32C84"/>
    <w:rsid w:val="00C67985"/>
    <w:rsid w:val="00C73A91"/>
    <w:rsid w:val="00CC494A"/>
    <w:rsid w:val="00CC659C"/>
    <w:rsid w:val="00D57F44"/>
    <w:rsid w:val="00DE613F"/>
    <w:rsid w:val="00E03AF7"/>
    <w:rsid w:val="00E04ACC"/>
    <w:rsid w:val="00E93C7D"/>
    <w:rsid w:val="00EE332A"/>
    <w:rsid w:val="00F66842"/>
    <w:rsid w:val="00FD60A7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557F"/>
  <w15:docId w15:val="{4FF83DC6-E927-41F0-BA4A-8F94C091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6D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6081"/>
    <w:pPr>
      <w:spacing w:before="100" w:beforeAutospacing="1" w:after="142" w:line="276" w:lineRule="auto"/>
    </w:pPr>
  </w:style>
  <w:style w:type="paragraph" w:styleId="Nagwek">
    <w:name w:val="header"/>
    <w:basedOn w:val="Normalny"/>
    <w:link w:val="NagwekZnak"/>
    <w:uiPriority w:val="99"/>
    <w:unhideWhenUsed/>
    <w:rsid w:val="00796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08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081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F5B7-278E-4214-84FB-BB4CE2C6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jsztanderski</dc:creator>
  <cp:lastModifiedBy>Sikorski</cp:lastModifiedBy>
  <cp:revision>6</cp:revision>
  <cp:lastPrinted>2023-07-17T10:43:00Z</cp:lastPrinted>
  <dcterms:created xsi:type="dcterms:W3CDTF">2023-07-05T10:10:00Z</dcterms:created>
  <dcterms:modified xsi:type="dcterms:W3CDTF">2024-02-23T13:54:00Z</dcterms:modified>
</cp:coreProperties>
</file>